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49" w:rsidRPr="00D64A49" w:rsidRDefault="00D64A49" w:rsidP="00D64A49">
      <w:pPr>
        <w:rPr>
          <w:lang w:val="el-GR"/>
        </w:rPr>
      </w:pPr>
      <w:r w:rsidRPr="00D64A49">
        <w:rPr>
          <w:lang w:val="el-GR"/>
        </w:rPr>
        <w:t>ΘΕΜΑ Α</w:t>
      </w:r>
    </w:p>
    <w:p w:rsidR="00D64A49" w:rsidRPr="00D64A49" w:rsidRDefault="00D64A49" w:rsidP="00D64A49">
      <w:pPr>
        <w:rPr>
          <w:lang w:val="el-GR"/>
        </w:rPr>
      </w:pPr>
      <w:r w:rsidRPr="00D64A49">
        <w:rPr>
          <w:lang w:val="el-GR"/>
        </w:rPr>
        <w:t>Α1. β</w:t>
      </w:r>
    </w:p>
    <w:p w:rsidR="00D64A49" w:rsidRPr="00D64A49" w:rsidRDefault="00D64A49" w:rsidP="00D64A49">
      <w:pPr>
        <w:rPr>
          <w:lang w:val="el-GR"/>
        </w:rPr>
      </w:pPr>
      <w:r w:rsidRPr="00D64A49">
        <w:rPr>
          <w:lang w:val="el-GR"/>
        </w:rPr>
        <w:t>Α2. γ</w:t>
      </w:r>
    </w:p>
    <w:p w:rsidR="00D64A49" w:rsidRPr="00D64A49" w:rsidRDefault="00D64A49" w:rsidP="00D64A49">
      <w:pPr>
        <w:rPr>
          <w:lang w:val="el-GR"/>
        </w:rPr>
      </w:pPr>
      <w:r w:rsidRPr="00D64A49">
        <w:rPr>
          <w:lang w:val="el-GR"/>
        </w:rPr>
        <w:t>Α3. δ</w:t>
      </w:r>
    </w:p>
    <w:p w:rsidR="00505C68" w:rsidRDefault="00D64A49" w:rsidP="00D64A49">
      <w:pPr>
        <w:rPr>
          <w:lang w:val="el-GR"/>
        </w:rPr>
      </w:pPr>
      <w:r w:rsidRPr="00D64A49">
        <w:rPr>
          <w:lang w:val="el-GR"/>
        </w:rPr>
        <w:t xml:space="preserve">Α4. </w:t>
      </w:r>
      <w:r w:rsidRPr="00D64A49">
        <w:rPr>
          <w:lang w:val="el-GR"/>
        </w:rPr>
        <w:t>Α</w:t>
      </w:r>
    </w:p>
    <w:p w:rsidR="00D64A49" w:rsidRDefault="00D64A49" w:rsidP="00D64A49">
      <w:pPr>
        <w:rPr>
          <w:lang w:val="el-GR"/>
        </w:rPr>
      </w:pPr>
    </w:p>
    <w:p w:rsidR="00D64A49" w:rsidRPr="00D64A49" w:rsidRDefault="00D64A49" w:rsidP="00D64A49">
      <w:pPr>
        <w:rPr>
          <w:lang w:val="el-GR"/>
        </w:rPr>
      </w:pPr>
      <w:r w:rsidRPr="00D64A49">
        <w:rPr>
          <w:lang w:val="el-GR"/>
        </w:rPr>
        <w:t xml:space="preserve">ΘΕΜΑ </w:t>
      </w:r>
      <w:r>
        <w:rPr>
          <w:lang w:val="el-GR"/>
        </w:rPr>
        <w:t>Β</w:t>
      </w:r>
    </w:p>
    <w:p w:rsidR="00D64A49" w:rsidRPr="00D64A49" w:rsidRDefault="00D64A49" w:rsidP="00D64A49">
      <w:pPr>
        <w:rPr>
          <w:lang w:val="el-GR"/>
        </w:rPr>
      </w:pPr>
      <w:r w:rsidRPr="00D64A49">
        <w:rPr>
          <w:lang w:val="el-GR"/>
        </w:rPr>
        <w:t>Β1.</w:t>
      </w:r>
    </w:p>
    <w:p w:rsidR="00D64A49" w:rsidRPr="00D64A49" w:rsidRDefault="00D64A49" w:rsidP="00D64A49">
      <w:pPr>
        <w:rPr>
          <w:lang w:val="el-GR"/>
        </w:rPr>
      </w:pPr>
      <w:r w:rsidRPr="00D64A49">
        <w:rPr>
          <w:lang w:val="el-GR"/>
        </w:rPr>
        <w:t>α. 9</w:t>
      </w:r>
      <w:r>
        <w:rPr>
          <w:lang w:val="el-GR"/>
        </w:rPr>
        <w:t xml:space="preserve">  /   </w:t>
      </w:r>
      <w:r w:rsidRPr="00D64A49">
        <w:rPr>
          <w:lang w:val="el-GR"/>
        </w:rPr>
        <w:t>β. 8</w:t>
      </w:r>
      <w:r>
        <w:rPr>
          <w:lang w:val="el-GR"/>
        </w:rPr>
        <w:t xml:space="preserve">  /   </w:t>
      </w:r>
      <w:r w:rsidRPr="00D64A49">
        <w:rPr>
          <w:lang w:val="el-GR"/>
        </w:rPr>
        <w:t>γ. 1</w:t>
      </w:r>
      <w:r>
        <w:rPr>
          <w:lang w:val="el-GR"/>
        </w:rPr>
        <w:t xml:space="preserve">  /   </w:t>
      </w:r>
      <w:r w:rsidRPr="00D64A49">
        <w:rPr>
          <w:lang w:val="el-GR"/>
        </w:rPr>
        <w:t>δ. 3</w:t>
      </w:r>
      <w:r>
        <w:rPr>
          <w:lang w:val="el-GR"/>
        </w:rPr>
        <w:t xml:space="preserve">  /  </w:t>
      </w:r>
      <w:r w:rsidRPr="00D64A49">
        <w:rPr>
          <w:lang w:val="el-GR"/>
        </w:rPr>
        <w:t>ε. 6</w:t>
      </w:r>
      <w:r>
        <w:rPr>
          <w:lang w:val="el-GR"/>
        </w:rPr>
        <w:t xml:space="preserve"> /  </w:t>
      </w:r>
      <w:r w:rsidRPr="00D64A49">
        <w:rPr>
          <w:lang w:val="el-GR"/>
        </w:rPr>
        <w:t>στ. 7</w:t>
      </w:r>
      <w:r>
        <w:rPr>
          <w:lang w:val="el-GR"/>
        </w:rPr>
        <w:t xml:space="preserve"> /  </w:t>
      </w:r>
      <w:r w:rsidRPr="00D64A49">
        <w:rPr>
          <w:lang w:val="el-GR"/>
        </w:rPr>
        <w:t>ζ. 5</w:t>
      </w:r>
      <w:r>
        <w:rPr>
          <w:lang w:val="el-GR"/>
        </w:rPr>
        <w:t xml:space="preserve">    / </w:t>
      </w:r>
      <w:r w:rsidRPr="00D64A49">
        <w:rPr>
          <w:lang w:val="el-GR"/>
        </w:rPr>
        <w:t>η. 4</w:t>
      </w:r>
    </w:p>
    <w:p w:rsidR="00D64A49" w:rsidRPr="00D64A49" w:rsidRDefault="00D64A49" w:rsidP="00D64A49">
      <w:pPr>
        <w:rPr>
          <w:lang w:val="el-GR"/>
        </w:rPr>
      </w:pPr>
    </w:p>
    <w:p w:rsidR="00D64A49" w:rsidRDefault="00D64A49" w:rsidP="00D64A49">
      <w:pPr>
        <w:rPr>
          <w:lang w:val="el-GR"/>
        </w:rPr>
      </w:pPr>
      <w:r>
        <w:rPr>
          <w:lang w:val="el-GR"/>
        </w:rPr>
        <w:t xml:space="preserve">Β4.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192"/>
        <w:gridCol w:w="3192"/>
        <w:gridCol w:w="3930"/>
      </w:tblGrid>
      <w:tr w:rsidR="00D64A49" w:rsidTr="00D64A49">
        <w:tc>
          <w:tcPr>
            <w:tcW w:w="3192" w:type="dxa"/>
          </w:tcPr>
          <w:p w:rsidR="00D64A49" w:rsidRPr="00D64A49" w:rsidRDefault="00D64A49" w:rsidP="00D64A49">
            <w:pPr>
              <w:jc w:val="center"/>
              <w:rPr>
                <w:b/>
                <w:lang w:val="el-GR"/>
              </w:rPr>
            </w:pPr>
            <w:r w:rsidRPr="00D64A49">
              <w:rPr>
                <w:b/>
                <w:lang w:val="el-GR"/>
              </w:rPr>
              <w:t>Παθογόνα πρωτόζωα</w:t>
            </w:r>
          </w:p>
        </w:tc>
        <w:tc>
          <w:tcPr>
            <w:tcW w:w="3192" w:type="dxa"/>
          </w:tcPr>
          <w:p w:rsidR="00D64A49" w:rsidRPr="00D64A49" w:rsidRDefault="00D64A49" w:rsidP="00D64A49">
            <w:pPr>
              <w:jc w:val="center"/>
              <w:rPr>
                <w:b/>
                <w:lang w:val="el-GR"/>
              </w:rPr>
            </w:pPr>
            <w:r w:rsidRPr="00D64A49">
              <w:rPr>
                <w:b/>
                <w:lang w:val="el-GR"/>
              </w:rPr>
              <w:t>Τρόπος μετάδοσης</w:t>
            </w:r>
          </w:p>
        </w:tc>
        <w:tc>
          <w:tcPr>
            <w:tcW w:w="3930" w:type="dxa"/>
          </w:tcPr>
          <w:p w:rsidR="00D64A49" w:rsidRPr="00D64A49" w:rsidRDefault="00D64A49" w:rsidP="00D64A49">
            <w:pPr>
              <w:jc w:val="center"/>
              <w:rPr>
                <w:b/>
                <w:lang w:val="el-GR"/>
              </w:rPr>
            </w:pPr>
            <w:r w:rsidRPr="00D64A49">
              <w:rPr>
                <w:b/>
                <w:lang w:val="el-GR"/>
              </w:rPr>
              <w:t>Παθογόνος δράση /ασθένεια</w:t>
            </w:r>
          </w:p>
          <w:p w:rsidR="00D64A49" w:rsidRPr="00D64A49" w:rsidRDefault="00D64A49" w:rsidP="00D64A49">
            <w:pPr>
              <w:jc w:val="center"/>
              <w:rPr>
                <w:b/>
                <w:lang w:val="el-GR"/>
              </w:rPr>
            </w:pPr>
          </w:p>
        </w:tc>
      </w:tr>
      <w:tr w:rsidR="00D64A49" w:rsidTr="00D64A49">
        <w:tc>
          <w:tcPr>
            <w:tcW w:w="3192" w:type="dxa"/>
          </w:tcPr>
          <w:p w:rsidR="00D64A49" w:rsidRDefault="00D64A49" w:rsidP="00D64A49">
            <w:pPr>
              <w:jc w:val="center"/>
              <w:rPr>
                <w:lang w:val="el-GR"/>
              </w:rPr>
            </w:pPr>
            <w:r w:rsidRPr="00D64A49">
              <w:rPr>
                <w:lang w:val="el-GR"/>
              </w:rPr>
              <w:t>Πλασμώδιο</w:t>
            </w:r>
          </w:p>
        </w:tc>
        <w:tc>
          <w:tcPr>
            <w:tcW w:w="3192" w:type="dxa"/>
          </w:tcPr>
          <w:p w:rsidR="00D64A49" w:rsidRDefault="00D64A49" w:rsidP="00D64A49">
            <w:pPr>
              <w:jc w:val="center"/>
              <w:rPr>
                <w:lang w:val="el-GR"/>
              </w:rPr>
            </w:pPr>
            <w:r w:rsidRPr="00D64A49">
              <w:rPr>
                <w:lang w:val="el-GR"/>
              </w:rPr>
              <w:t>Κουνούπι</w:t>
            </w:r>
          </w:p>
        </w:tc>
        <w:tc>
          <w:tcPr>
            <w:tcW w:w="3930" w:type="dxa"/>
          </w:tcPr>
          <w:p w:rsidR="00D64A49" w:rsidRPr="00D64A49" w:rsidRDefault="00D64A49" w:rsidP="00D64A49">
            <w:pPr>
              <w:rPr>
                <w:lang w:val="el-GR"/>
              </w:rPr>
            </w:pPr>
            <w:r w:rsidRPr="00D64A49">
              <w:rPr>
                <w:lang w:val="el-GR"/>
              </w:rPr>
              <w:t>Ελονοσία</w:t>
            </w:r>
          </w:p>
          <w:p w:rsidR="00D64A49" w:rsidRDefault="00D64A49" w:rsidP="00D64A49">
            <w:pPr>
              <w:jc w:val="center"/>
              <w:rPr>
                <w:lang w:val="el-GR"/>
              </w:rPr>
            </w:pPr>
          </w:p>
        </w:tc>
      </w:tr>
      <w:tr w:rsidR="00D64A49" w:rsidTr="00D64A49">
        <w:tc>
          <w:tcPr>
            <w:tcW w:w="3192" w:type="dxa"/>
          </w:tcPr>
          <w:p w:rsidR="00D64A49" w:rsidRDefault="00D64A49" w:rsidP="00D64A49">
            <w:pPr>
              <w:jc w:val="center"/>
              <w:rPr>
                <w:lang w:val="el-GR"/>
              </w:rPr>
            </w:pPr>
            <w:proofErr w:type="spellStart"/>
            <w:r w:rsidRPr="00D64A49">
              <w:rPr>
                <w:lang w:val="el-GR"/>
              </w:rPr>
              <w:t>Τρυπανόσωμα</w:t>
            </w:r>
            <w:proofErr w:type="spellEnd"/>
          </w:p>
        </w:tc>
        <w:tc>
          <w:tcPr>
            <w:tcW w:w="3192" w:type="dxa"/>
          </w:tcPr>
          <w:p w:rsidR="00D64A49" w:rsidRPr="00D64A49" w:rsidRDefault="00D64A49" w:rsidP="00D64A49">
            <w:pPr>
              <w:rPr>
                <w:lang w:val="el-GR"/>
              </w:rPr>
            </w:pPr>
            <w:r w:rsidRPr="00D64A49">
              <w:rPr>
                <w:lang w:val="el-GR"/>
              </w:rPr>
              <w:t xml:space="preserve">Μύγα τσε - τσε </w:t>
            </w:r>
          </w:p>
          <w:p w:rsidR="00D64A49" w:rsidRDefault="00D64A49" w:rsidP="00D64A49">
            <w:pPr>
              <w:jc w:val="center"/>
              <w:rPr>
                <w:lang w:val="el-GR"/>
              </w:rPr>
            </w:pPr>
          </w:p>
        </w:tc>
        <w:tc>
          <w:tcPr>
            <w:tcW w:w="3930" w:type="dxa"/>
          </w:tcPr>
          <w:p w:rsidR="00D64A49" w:rsidRDefault="00D64A49" w:rsidP="00D64A49">
            <w:pPr>
              <w:jc w:val="center"/>
              <w:rPr>
                <w:lang w:val="el-GR"/>
              </w:rPr>
            </w:pPr>
            <w:r w:rsidRPr="00D64A49">
              <w:rPr>
                <w:lang w:val="el-GR"/>
              </w:rPr>
              <w:t>Ασθένεια του ύπνου</w:t>
            </w:r>
          </w:p>
        </w:tc>
      </w:tr>
      <w:tr w:rsidR="00D64A49" w:rsidTr="00D64A49">
        <w:tc>
          <w:tcPr>
            <w:tcW w:w="3192" w:type="dxa"/>
          </w:tcPr>
          <w:p w:rsidR="00D64A49" w:rsidRDefault="00D64A49" w:rsidP="00D64A49">
            <w:pPr>
              <w:jc w:val="center"/>
              <w:rPr>
                <w:lang w:val="el-GR"/>
              </w:rPr>
            </w:pPr>
            <w:r w:rsidRPr="00D64A49">
              <w:rPr>
                <w:lang w:val="el-GR"/>
              </w:rPr>
              <w:t xml:space="preserve">Τοξόπλασμα </w:t>
            </w:r>
          </w:p>
        </w:tc>
        <w:tc>
          <w:tcPr>
            <w:tcW w:w="3192" w:type="dxa"/>
          </w:tcPr>
          <w:p w:rsidR="00D64A49" w:rsidRDefault="00D64A49" w:rsidP="00D64A49">
            <w:pPr>
              <w:jc w:val="center"/>
              <w:rPr>
                <w:lang w:val="el-GR"/>
              </w:rPr>
            </w:pPr>
            <w:r w:rsidRPr="00D64A49">
              <w:rPr>
                <w:lang w:val="el-GR"/>
              </w:rPr>
              <w:t xml:space="preserve">Κατοικίδια ζώα </w:t>
            </w:r>
          </w:p>
        </w:tc>
        <w:tc>
          <w:tcPr>
            <w:tcW w:w="3930" w:type="dxa"/>
          </w:tcPr>
          <w:p w:rsidR="00D64A49" w:rsidRPr="00D64A49" w:rsidRDefault="00D64A49" w:rsidP="00D64A49">
            <w:pPr>
              <w:rPr>
                <w:lang w:val="el-GR"/>
              </w:rPr>
            </w:pPr>
            <w:r w:rsidRPr="00D64A49">
              <w:rPr>
                <w:lang w:val="el-GR"/>
              </w:rPr>
              <w:t>Προσβάλλει πνεύμονες</w:t>
            </w:r>
            <w:r>
              <w:rPr>
                <w:lang w:val="el-GR"/>
              </w:rPr>
              <w:t>,</w:t>
            </w:r>
            <w:r w:rsidRPr="00D64A49">
              <w:rPr>
                <w:lang w:val="el-GR"/>
              </w:rPr>
              <w:t xml:space="preserve"> </w:t>
            </w:r>
            <w:r w:rsidRPr="00D64A49">
              <w:rPr>
                <w:lang w:val="el-GR"/>
              </w:rPr>
              <w:t>ήπαρ, σπλήνα και</w:t>
            </w:r>
            <w:r>
              <w:rPr>
                <w:lang w:val="el-GR"/>
              </w:rPr>
              <w:t xml:space="preserve"> </w:t>
            </w:r>
            <w:r w:rsidRPr="00D64A49">
              <w:rPr>
                <w:lang w:val="el-GR"/>
              </w:rPr>
              <w:t xml:space="preserve">προκαλεί αποβολές </w:t>
            </w:r>
            <w:r>
              <w:rPr>
                <w:lang w:val="el-GR"/>
              </w:rPr>
              <w:t xml:space="preserve">στις </w:t>
            </w:r>
            <w:r w:rsidRPr="00D64A49">
              <w:rPr>
                <w:lang w:val="el-GR"/>
              </w:rPr>
              <w:t>εγκύους</w:t>
            </w:r>
          </w:p>
          <w:p w:rsidR="00D64A49" w:rsidRDefault="00D64A49" w:rsidP="00D64A49">
            <w:pPr>
              <w:jc w:val="center"/>
              <w:rPr>
                <w:lang w:val="el-GR"/>
              </w:rPr>
            </w:pPr>
          </w:p>
        </w:tc>
      </w:tr>
    </w:tbl>
    <w:p w:rsidR="00D64A49" w:rsidRDefault="00D64A49" w:rsidP="00D64A49">
      <w:pPr>
        <w:rPr>
          <w:lang w:val="el-GR"/>
        </w:rPr>
      </w:pPr>
    </w:p>
    <w:p w:rsidR="00D64A49" w:rsidRDefault="00D64A49" w:rsidP="00D64A49">
      <w:pPr>
        <w:rPr>
          <w:lang w:val="el-GR"/>
        </w:rPr>
      </w:pPr>
      <w:r>
        <w:rPr>
          <w:lang w:val="el-GR"/>
        </w:rPr>
        <w:t>ΘΕΜΑ Δ</w:t>
      </w:r>
    </w:p>
    <w:p w:rsidR="00D64A49" w:rsidRPr="00D64A49" w:rsidRDefault="00D64A49" w:rsidP="00D64A49">
      <w:pPr>
        <w:rPr>
          <w:lang w:val="el-GR"/>
        </w:rPr>
      </w:pPr>
      <w:r w:rsidRPr="00D64A49">
        <w:rPr>
          <w:lang w:val="el-GR"/>
        </w:rPr>
        <w:t>Δ1.</w:t>
      </w:r>
    </w:p>
    <w:p w:rsidR="00D64A49" w:rsidRPr="00D64A49" w:rsidRDefault="00D64A49" w:rsidP="00D64A49">
      <w:pPr>
        <w:jc w:val="both"/>
        <w:rPr>
          <w:lang w:val="el-GR"/>
        </w:rPr>
      </w:pPr>
      <w:r w:rsidRPr="00D64A49">
        <w:rPr>
          <w:lang w:val="el-GR"/>
        </w:rPr>
        <w:t>Στην καμπύλη Α η τεχνητή ανοσία προκλήθηκε με εμβολιασμό, κατά τον οποίο η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χορήγηση νεκρών ή εξασθενημένων αντιγόνων προκαλεί την ενεργοποίηση του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ανοσοβιολογικού συστήματος χωρίς την πρόκληση νόσου. Συγκεκριμένα κατά τον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εμβολιασμό επιτελείται πρωτογενής ανοσοβιολογική απόκριση και αυτό φαίνεται και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στο διάγραμμα, καθώς καθυστερεί η παραγωγή αντισωμάτων κάποιο χρονικό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διάστημα μετά τη μόλυνση (είσοδος μικροβίου</w:t>
      </w:r>
      <w:r>
        <w:rPr>
          <w:lang w:val="el-GR"/>
        </w:rPr>
        <w:t xml:space="preserve"> </w:t>
      </w:r>
      <w:r w:rsidRPr="00D64A49">
        <w:rPr>
          <w:lang w:val="el-GR"/>
        </w:rPr>
        <w:t>στον οργανισμό). Το εμβόλιο</w:t>
      </w:r>
      <w:r>
        <w:rPr>
          <w:lang w:val="el-GR"/>
        </w:rPr>
        <w:t xml:space="preserve"> </w:t>
      </w:r>
      <w:r w:rsidRPr="00D64A49">
        <w:rPr>
          <w:lang w:val="el-GR"/>
        </w:rPr>
        <w:t>αποτελεί τύπο ενεργητικής ανοσίας, διότι όπως και το ίδιο το μικρόβιο θα έκανε,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 xml:space="preserve">ενεργοποιεί τον ανοσοβιολογικό μηχανισμό του οργανισμού ώστε να παράγει ο </w:t>
      </w:r>
      <w:r w:rsidR="007E4A16">
        <w:rPr>
          <w:lang w:val="el-GR"/>
        </w:rPr>
        <w:t xml:space="preserve">ίδιος </w:t>
      </w:r>
      <w:r w:rsidRPr="00D64A49">
        <w:rPr>
          <w:lang w:val="el-GR"/>
        </w:rPr>
        <w:t>αντισώματα και κύτταρα μνήμης.</w:t>
      </w:r>
    </w:p>
    <w:p w:rsidR="00D64A49" w:rsidRPr="00D64A49" w:rsidRDefault="00D64A49" w:rsidP="00D64A49">
      <w:pPr>
        <w:jc w:val="both"/>
        <w:rPr>
          <w:lang w:val="el-GR"/>
        </w:rPr>
      </w:pPr>
      <w:r w:rsidRPr="00D64A49">
        <w:rPr>
          <w:lang w:val="el-GR"/>
        </w:rPr>
        <w:t>Στην καμπύλη Β η τεχνητή ανοσία προκλήθηκε με χορήγηση ορού αμέσως μετά τη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μόλυνση καθώς εμφανίζεται αιφνίδια στον οργανισμό μεγάλη συγκέντρωση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αντισωμάτων, τα οποία δεν αυξάνονται (</w:t>
      </w:r>
      <w:r w:rsidR="007E4A16">
        <w:rPr>
          <w:lang w:val="el-GR"/>
        </w:rPr>
        <w:t xml:space="preserve">κάτι που </w:t>
      </w:r>
      <w:r w:rsidRPr="00D64A49">
        <w:rPr>
          <w:lang w:val="el-GR"/>
        </w:rPr>
        <w:t>θα συνέβαινε αν αυτά είχαν παραχθεί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 xml:space="preserve">από τα πλασματοκύτταρα σε πρωτογενή είτε σε </w:t>
      </w:r>
      <w:r w:rsidRPr="00D64A49">
        <w:rPr>
          <w:lang w:val="el-GR"/>
        </w:rPr>
        <w:lastRenderedPageBreak/>
        <w:t>δευτερογενή ανοσοβιολογική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απόκριση) αλλά παραμένουν για ένα χρονικό διάστημα και μετά μειώνονται καθώς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αντιδρούν με το αντιγόνο εξουδετερώνοντάς το. Ο ορός αποτελεί τύπο παθητικής</w:t>
      </w:r>
    </w:p>
    <w:p w:rsidR="00D64A49" w:rsidRDefault="00D64A49" w:rsidP="00D64A49">
      <w:pPr>
        <w:jc w:val="both"/>
        <w:rPr>
          <w:lang w:val="el-GR"/>
        </w:rPr>
      </w:pPr>
      <w:r w:rsidRPr="00D64A49">
        <w:rPr>
          <w:lang w:val="el-GR"/>
        </w:rPr>
        <w:t>ανοσίας, διότι τα αντισώματα δεν παράγονται στον ίδιο</w:t>
      </w:r>
      <w:r>
        <w:rPr>
          <w:lang w:val="el-GR"/>
        </w:rPr>
        <w:t xml:space="preserve"> </w:t>
      </w:r>
      <w:r w:rsidRPr="00D64A49">
        <w:rPr>
          <w:lang w:val="el-GR"/>
        </w:rPr>
        <w:t>τον οργανισμό αλλά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χορηγούνται εξωγενώς.</w:t>
      </w:r>
    </w:p>
    <w:p w:rsidR="00D64A49" w:rsidRPr="00D64A49" w:rsidRDefault="00D64A49" w:rsidP="00D64A49">
      <w:pPr>
        <w:jc w:val="both"/>
        <w:rPr>
          <w:lang w:val="el-GR"/>
        </w:rPr>
      </w:pPr>
      <w:r w:rsidRPr="00D64A49">
        <w:rPr>
          <w:lang w:val="el-GR"/>
        </w:rPr>
        <w:t>Δ2.</w:t>
      </w:r>
    </w:p>
    <w:p w:rsidR="00D64A49" w:rsidRPr="00D64A49" w:rsidRDefault="00D64A49" w:rsidP="00D64A49">
      <w:pPr>
        <w:jc w:val="both"/>
        <w:rPr>
          <w:lang w:val="el-GR"/>
        </w:rPr>
      </w:pPr>
      <w:r w:rsidRPr="00D64A49">
        <w:rPr>
          <w:lang w:val="el-GR"/>
        </w:rPr>
        <w:t>Η καμπύλη Ι αντιστοιχεί στην ανοσοβιολογική απόκριση του Δομήνικου καθώς λόγω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του εμβολίου που έχει δεχθεί στον παρελθόν διαθέτει κύτταρα μνήμης εξειδικευμένα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για τ</w:t>
      </w:r>
      <w:r w:rsidR="007E4A16">
        <w:rPr>
          <w:lang w:val="el-GR"/>
        </w:rPr>
        <w:t>ο συγκεκριμένο αντιγόνο.  Έτσι</w:t>
      </w:r>
      <w:r w:rsidRPr="00D64A49">
        <w:rPr>
          <w:lang w:val="el-GR"/>
        </w:rPr>
        <w:t xml:space="preserve"> όταν μολύνεται από το ίδιο αντιγόνο για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δεύτερη φορά και σε μεγάλο χρονικό διάστημα μετά τον εμβολιασμό, τα κύτταρα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μνήμης δρουν και παράγεται πολύ γρήγορα μεγάλος αριθμός αντισωμάτων αμέσως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μετά τη μόλυνση, όπως φαίνεται και στο διάγραμμα.</w:t>
      </w:r>
    </w:p>
    <w:p w:rsidR="00D64A49" w:rsidRPr="00D64A49" w:rsidRDefault="00D64A49" w:rsidP="00D64A49">
      <w:pPr>
        <w:jc w:val="both"/>
        <w:rPr>
          <w:lang w:val="el-GR"/>
        </w:rPr>
      </w:pPr>
      <w:r w:rsidRPr="00D64A49">
        <w:rPr>
          <w:lang w:val="el-GR"/>
        </w:rPr>
        <w:t>Η καμπύλη ΙI αντιστοιχεί στην ανοσοβιολογική απόκριση της Γαλάτειας. Ο ορός που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δέχθηκε στο παρελθόν, παρότι τότε είχε άμεση δράση όσον αφορά στην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καταπολέμηση του αντιγόνου, η διάρκειά του ήταν παροδική. Ο ορός αποτελεί τύπο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παθητικής ανοσίας, στην οποία δεν συμβαίνει ενεργοποίηση του ανοσοβιολογικού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συστήματος του ατόμου και συνεπώς δεν δημιουργούνται κύτταρα μνήμης. Έτσι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όταν μολύνθηκε πάλι από το ίδιο αντιγόνο για το οποίο είχε δεχθεί ορό, το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 xml:space="preserve">ανοσοβιολογικό του </w:t>
      </w:r>
      <w:r w:rsidR="007E4A16">
        <w:rPr>
          <w:lang w:val="el-GR"/>
        </w:rPr>
        <w:t xml:space="preserve"> σ</w:t>
      </w:r>
      <w:r w:rsidRPr="00D64A49">
        <w:rPr>
          <w:lang w:val="el-GR"/>
        </w:rPr>
        <w:t>ύστημα έρχεται σε επαφή ουσιαστικά πρώτη φορά με αυτό,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οπότε και επιτελεί πρωτογενή ανοσοβιολογική απόκριση. Στην πρωτογενή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ανοσοβιολογική απόκριση καθυστερεί χρονικά η παραγωγή αντισωμάτων και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παράγονται λιγότερα αντισώματα συγκριτικά με την δευτερογενή όπως φαίνεται και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στο διάγραμμα.</w:t>
      </w:r>
    </w:p>
    <w:p w:rsidR="00D64A49" w:rsidRPr="00D64A49" w:rsidRDefault="00D64A49" w:rsidP="00D64A49">
      <w:pPr>
        <w:jc w:val="both"/>
        <w:rPr>
          <w:lang w:val="el-GR"/>
        </w:rPr>
      </w:pPr>
    </w:p>
    <w:p w:rsidR="00D64A49" w:rsidRPr="00D64A49" w:rsidRDefault="00D64A49" w:rsidP="00D64A49">
      <w:pPr>
        <w:jc w:val="both"/>
        <w:rPr>
          <w:lang w:val="el-GR"/>
        </w:rPr>
      </w:pPr>
      <w:r w:rsidRPr="00D64A49">
        <w:rPr>
          <w:lang w:val="el-GR"/>
        </w:rPr>
        <w:t>Δ3.</w:t>
      </w:r>
    </w:p>
    <w:p w:rsidR="00D64A49" w:rsidRPr="00D64A49" w:rsidRDefault="00D64A49" w:rsidP="00D64A49">
      <w:pPr>
        <w:jc w:val="both"/>
        <w:rPr>
          <w:lang w:val="el-GR"/>
        </w:rPr>
      </w:pPr>
      <w:r w:rsidRPr="00D64A49">
        <w:rPr>
          <w:lang w:val="el-GR"/>
        </w:rPr>
        <w:t>Η διάγνωση της νόσου γίνεται είτε με την ανίχνευση του RNA του ιού είτε με την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ανίχνευση των ειδικών για τον ιό αντισωμάτων στο αίμα του ασθενούς. Το δεύτερο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είναι δυνατό να γίνει μετά την παρέλευση 6 εβδομάδων έως 6 μηνών από την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εισβολή του ιού στον οργανισμό. Συνεπώς η διάγνωση της νόσου στο άτομο αυτό δε</w:t>
      </w:r>
      <w:r w:rsidR="007E4A16">
        <w:rPr>
          <w:lang w:val="el-GR"/>
        </w:rPr>
        <w:t xml:space="preserve"> </w:t>
      </w:r>
      <w:r w:rsidRPr="00D64A49">
        <w:rPr>
          <w:lang w:val="el-GR"/>
        </w:rPr>
        <w:t>μπορεί να βασιστεί στην ανίχνευση αντισωμάτων 2 μέρες μετά τη μόλυνση.</w:t>
      </w:r>
      <w:bookmarkStart w:id="0" w:name="_GoBack"/>
      <w:bookmarkEnd w:id="0"/>
    </w:p>
    <w:sectPr w:rsidR="00D64A49" w:rsidRPr="00D64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49"/>
    <w:rsid w:val="00505C68"/>
    <w:rsid w:val="007E4A16"/>
    <w:rsid w:val="00D6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Ntouma</dc:creator>
  <cp:lastModifiedBy>Maria Ntouma</cp:lastModifiedBy>
  <cp:revision>1</cp:revision>
  <dcterms:created xsi:type="dcterms:W3CDTF">2020-05-08T21:31:00Z</dcterms:created>
  <dcterms:modified xsi:type="dcterms:W3CDTF">2020-05-08T21:46:00Z</dcterms:modified>
</cp:coreProperties>
</file>